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311F">
      <w:pPr>
        <w:rPr>
          <w:rFonts w:ascii="仿宋" w:hAnsi="仿宋" w:eastAsia="仿宋"/>
          <w:sz w:val="32"/>
          <w:szCs w:val="32"/>
        </w:rPr>
      </w:pPr>
    </w:p>
    <w:p w14:paraId="269061F5">
      <w:pPr>
        <w:pStyle w:val="11"/>
        <w:spacing w:line="240" w:lineRule="auto"/>
        <w:ind w:firstLine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宣恩县人民法院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2026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年预算公开情况说明</w:t>
      </w:r>
    </w:p>
    <w:p w14:paraId="2D689E25">
      <w:pPr>
        <w:rPr>
          <w:sz w:val="36"/>
          <w:szCs w:val="36"/>
        </w:rPr>
      </w:pPr>
    </w:p>
    <w:p w14:paraId="3B1B3F7C">
      <w:pPr>
        <w:spacing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目   录</w:t>
      </w:r>
    </w:p>
    <w:p w14:paraId="21876852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40AB67F0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bookmarkStart w:id="0" w:name="_Hlk134434084"/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 w14:paraId="63F3B8D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77870EEC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77B369C3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75F742D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769F59C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0497CEB3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17D27E3A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3FBDE1E1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2A042E4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bookmarkEnd w:id="0"/>
    <w:p w14:paraId="2D5D3A33">
      <w:pPr>
        <w:pStyle w:val="10"/>
        <w:rPr>
          <w:sz w:val="36"/>
          <w:szCs w:val="36"/>
        </w:rPr>
      </w:pPr>
    </w:p>
    <w:p w14:paraId="3BFBF4F4">
      <w:pPr>
        <w:pStyle w:val="10"/>
        <w:rPr>
          <w:sz w:val="36"/>
          <w:szCs w:val="36"/>
        </w:rPr>
      </w:pPr>
    </w:p>
    <w:p w14:paraId="422B4F8F">
      <w:pPr>
        <w:pStyle w:val="10"/>
        <w:rPr>
          <w:sz w:val="36"/>
          <w:szCs w:val="36"/>
        </w:rPr>
      </w:pPr>
    </w:p>
    <w:p w14:paraId="6E39295B">
      <w:pPr>
        <w:pStyle w:val="10"/>
        <w:rPr>
          <w:sz w:val="36"/>
          <w:szCs w:val="36"/>
        </w:rPr>
      </w:pPr>
    </w:p>
    <w:p w14:paraId="53F6E201">
      <w:pPr>
        <w:pStyle w:val="10"/>
        <w:rPr>
          <w:sz w:val="36"/>
          <w:szCs w:val="36"/>
        </w:rPr>
      </w:pPr>
    </w:p>
    <w:p w14:paraId="73ADDDB0">
      <w:pPr>
        <w:pStyle w:val="10"/>
        <w:rPr>
          <w:sz w:val="36"/>
          <w:szCs w:val="36"/>
        </w:rPr>
      </w:pPr>
    </w:p>
    <w:p w14:paraId="25E61F49">
      <w:pPr>
        <w:pStyle w:val="10"/>
        <w:rPr>
          <w:sz w:val="36"/>
          <w:szCs w:val="36"/>
        </w:rPr>
      </w:pPr>
    </w:p>
    <w:p w14:paraId="6033F38A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 w14:paraId="531720F0">
      <w:pPr>
        <w:pStyle w:val="5"/>
        <w:spacing w:before="0" w:beforeAutospacing="0" w:after="0" w:afterAutospacing="0" w:line="460" w:lineRule="atLeas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依照《中华人民共和国宪法》和《人民法院组织法》的规定，宣恩县人民法院是国家审判机关，在县委领导、县人大监督和上级法院的指导下，依法独立行使审判权，对县人民代表大会及其常务委员会负责并报告工作。主要职责是：</w:t>
      </w:r>
    </w:p>
    <w:p w14:paraId="39D90818">
      <w:pPr>
        <w:pStyle w:val="5"/>
        <w:spacing w:before="0" w:beforeAutospacing="0" w:after="0" w:afterAutospacing="0" w:line="460" w:lineRule="atLeas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（一）审理法律法规规定管辖的一审刑事、民事、行政案件；</w:t>
      </w:r>
    </w:p>
    <w:p w14:paraId="11675278">
      <w:pPr>
        <w:pStyle w:val="5"/>
        <w:spacing w:before="0" w:beforeAutospacing="0" w:after="0" w:afterAutospacing="0" w:line="460" w:lineRule="atLeast"/>
        <w:ind w:firstLine="480" w:firstLineChars="15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（二）审理上级法院指定管辖和交办的案件；</w:t>
      </w:r>
    </w:p>
    <w:p w14:paraId="61CD553B">
      <w:pPr>
        <w:pStyle w:val="5"/>
        <w:spacing w:before="0" w:beforeAutospacing="0" w:after="0" w:afterAutospacing="0" w:line="460" w:lineRule="atLeast"/>
        <w:ind w:firstLine="480" w:firstLineChars="15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（三）审理告诉、申诉案件；</w:t>
      </w:r>
    </w:p>
    <w:p w14:paraId="04BDB193">
      <w:pPr>
        <w:pStyle w:val="5"/>
        <w:spacing w:before="0" w:beforeAutospacing="0" w:after="0" w:afterAutospacing="0" w:line="460" w:lineRule="atLeast"/>
        <w:ind w:firstLine="480" w:firstLineChars="15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（四）执行本院已经发生法律效力的判决、裁定和国家行政机关申请执行的案件和外地法院委托执行的案件；</w:t>
      </w:r>
    </w:p>
    <w:p w14:paraId="593292A2">
      <w:pPr>
        <w:pStyle w:val="5"/>
        <w:spacing w:before="0" w:beforeAutospacing="0" w:after="0" w:afterAutospacing="0" w:line="460" w:lineRule="atLeast"/>
        <w:ind w:firstLine="480" w:firstLineChars="15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（五）对审判和其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他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工作中的新情况、新问题进行调查研究，提出解决的方法和建议，针对审理和执行案件发现的问题提出司法建议；</w:t>
      </w:r>
    </w:p>
    <w:p w14:paraId="71A44BC9">
      <w:pPr>
        <w:pStyle w:val="5"/>
        <w:spacing w:before="0" w:beforeAutospacing="0" w:after="0" w:afterAutospacing="0" w:line="460" w:lineRule="atLeast"/>
        <w:ind w:firstLine="480" w:firstLineChars="15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（六）开展法制宣传工作，教育公民自觉遵守宪法和法律；</w:t>
      </w:r>
    </w:p>
    <w:p w14:paraId="3F632EF5">
      <w:pPr>
        <w:pStyle w:val="5"/>
        <w:spacing w:before="0" w:beforeAutospacing="0" w:after="0" w:afterAutospacing="0" w:line="460" w:lineRule="atLeast"/>
        <w:ind w:firstLine="480" w:firstLineChars="15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</w:rPr>
        <w:t>（七）承办县委和上级法院交办的其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他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工作。</w:t>
      </w:r>
    </w:p>
    <w:p w14:paraId="7760BE7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49B48012">
      <w:pPr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我院现内设9个职能部门，包括综合办公室、政治部、执行局、刑事审判庭、民事审判庭、行政审判庭、审判管理办公室、立案庭、司法警察大队；派出乡镇法庭5个：分别是晓关人民法庭、沙道沟人民法庭、长潭河人民法庭、李家河人民法庭、高罗人民法庭。</w:t>
      </w:r>
    </w:p>
    <w:p w14:paraId="30A0405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352A3AA3">
      <w:pPr>
        <w:spacing w:line="600" w:lineRule="exact"/>
        <w:ind w:firstLine="660" w:firstLineChars="200"/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预算收入情况：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6年预算收入2678.39万元，比上年减少212.68万元，减少7.36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，主要原因是2026年安排的法庭维修经费减少</w:t>
      </w:r>
      <w:r>
        <w:rPr>
          <w:rFonts w:hint="eastAsia" w:ascii="仿宋_GB2312" w:hAnsi="Calibri" w:eastAsia="仿宋_GB2312" w:cs="Times New Roman"/>
          <w:b/>
          <w:bCs/>
          <w:smallCaps/>
          <w:spacing w:val="5"/>
          <w:sz w:val="32"/>
          <w:szCs w:val="32"/>
        </w:rPr>
        <w:t>。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其中：一般公共预算拨款收入2603.11万元,比上年减少198.45万元，减少7.08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；其他收入75.28万元, 比上年减少14.23万元，减少15.9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</w:t>
      </w:r>
    </w:p>
    <w:p w14:paraId="3DEB9768">
      <w:pPr>
        <w:spacing w:line="600" w:lineRule="exact"/>
        <w:ind w:firstLine="66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预算支出情况：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6年预算支出2678.39万元，比上年减少212.68万元，减少7.36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。其中：公共安全支出2228.39万元，比上年减少229.68万元，减少9.34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；社会保障和就业支出313万元，比上年增加13万元，增加4.33%；住房保障支出137万元，比上年增加4万元，增加3.01%。</w:t>
      </w:r>
    </w:p>
    <w:p w14:paraId="696DEC50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</w:t>
      </w:r>
      <w:r>
        <w:rPr>
          <w:rFonts w:hint="eastAsia" w:ascii="仿宋_GB2312" w:hAnsi="Calibri" w:eastAsia="仿宋_GB2312" w:cs="Times New Roman"/>
          <w:sz w:val="32"/>
          <w:szCs w:val="32"/>
        </w:rPr>
        <w:t>的主要原因：</w:t>
      </w:r>
    </w:p>
    <w:p w14:paraId="119EFE79">
      <w:pPr>
        <w:pStyle w:val="5"/>
        <w:shd w:val="clear" w:color="auto" w:fill="FFFFFF"/>
        <w:spacing w:before="0" w:beforeAutospacing="0" w:after="0" w:afterAutospacing="0" w:line="675" w:lineRule="atLeast"/>
        <w:ind w:firstLine="480" w:firstLineChars="15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（1）</w:t>
      </w:r>
      <w:r>
        <w:rPr>
          <w:rFonts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</w:rPr>
        <w:t>6年基本支出2110.67万元，比上年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增加101.45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增加5.05%，</w:t>
      </w:r>
      <w:r>
        <w:rPr>
          <w:rFonts w:hint="eastAsia" w:ascii="仿宋_GB2312" w:hAnsi="Calibri" w:eastAsia="仿宋_GB2312" w:cs="Times New Roman"/>
          <w:sz w:val="32"/>
          <w:szCs w:val="32"/>
        </w:rPr>
        <w:t>主要原因是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2026年人员工资政策性增长。</w:t>
      </w:r>
    </w:p>
    <w:p w14:paraId="757CB40A">
      <w:pPr>
        <w:spacing w:line="600" w:lineRule="exact"/>
        <w:ind w:firstLine="480" w:firstLineChars="15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6年项目支出567.72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减少314.13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减少35.62%，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主要原因是减少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房屋维修专项经费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。</w:t>
      </w:r>
    </w:p>
    <w:p w14:paraId="360B3042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6EC62C5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宋体" w:eastAsia="仿宋_GB2312" w:cs=".PingFang-SC-Light"/>
          <w:kern w:val="0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</w:rPr>
        <w:t>6年机关运行经费236.67万元，较上年相比增加23.93万元，增加11.25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，增加主要原因是水电费有所增加。</w:t>
      </w:r>
      <w:r>
        <w:rPr>
          <w:rFonts w:hint="eastAsia" w:ascii="仿宋_GB2312" w:hAnsi="宋体" w:eastAsia="仿宋_GB2312" w:cs="Times New Roman"/>
          <w:sz w:val="32"/>
          <w:szCs w:val="32"/>
        </w:rPr>
        <w:t>其中：印刷费5万元、水费5万元、电费30万元、邮电费11.8万元、公务接待费1万元、工会经费20万元、办公费36万元、维修费3万元、其他交通费用1万元、其他商品和服务支出123.87万元</w:t>
      </w:r>
      <w:r>
        <w:rPr>
          <w:rFonts w:hint="eastAsia" w:ascii="仿宋_GB2312" w:hAnsi="宋体" w:eastAsia="仿宋_GB2312" w:cs=".PingFang-SC-Light"/>
          <w:kern w:val="0"/>
          <w:sz w:val="32"/>
          <w:szCs w:val="32"/>
        </w:rPr>
        <w:t>。</w:t>
      </w:r>
    </w:p>
    <w:p w14:paraId="7CD8B3C3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78A7F746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</w:rPr>
        <w:t>6年“三公”经费财政拨款预算35万元，比上年预算减少20万元，减少36.36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。其中：</w:t>
      </w:r>
    </w:p>
    <w:p w14:paraId="4F8BD598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因公出国（境）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费0万元，与上年持平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0C14DCB5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费1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sz w:val="32"/>
          <w:szCs w:val="32"/>
        </w:rPr>
        <w:t>减少2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</w:rPr>
        <w:t>主要原因是2026年接待任务有所下降。</w:t>
      </w:r>
    </w:p>
    <w:p w14:paraId="346C76C2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维护费34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sz w:val="32"/>
          <w:szCs w:val="32"/>
        </w:rPr>
        <w:t>减少18万元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，其中：公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置费0万元，比上年减少18万元，主要原因是2026年购置公务车辆0辆，2025年购置1辆公务车辆；公务用车运行维护费34万，与上年持平。</w:t>
      </w:r>
    </w:p>
    <w:p w14:paraId="0D0303F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51799BBD"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20</w:t>
      </w:r>
      <w:r>
        <w:rPr>
          <w:rFonts w:hint="eastAsia" w:ascii="仿宋_GB2312" w:hAnsi="Calibri" w:eastAsia="仿宋_GB2312" w:cs="Times New Roman"/>
          <w:sz w:val="32"/>
          <w:szCs w:val="32"/>
        </w:rPr>
        <w:t>26年部门（单位）编制政府采购预算53.28万元，比上年度减少296.23万元，减少84.76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，主要原因是2026年法庭维修采购需求减少。其中：货物类政府采购预算23.28万元，主要用于购置更新设备；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</w:rPr>
        <w:t>主要用于机关大楼维修；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算20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万元，主要用于车辆加油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73DC9085">
      <w:pPr>
        <w:spacing w:line="600" w:lineRule="exact"/>
        <w:ind w:firstLine="640" w:firstLineChars="200"/>
        <w:rPr>
          <w:rFonts w:ascii="仿宋_GB2312" w:hAnsi="MS Mincho" w:eastAsia="仿宋_GB2312" w:cs="MS Mincho"/>
          <w:kern w:val="0"/>
          <w:sz w:val="32"/>
          <w:szCs w:val="32"/>
        </w:rPr>
      </w:pPr>
      <w:r>
        <w:rPr>
          <w:rFonts w:ascii="仿宋_GB2312" w:hAnsi="MS Mincho" w:eastAsia="仿宋_GB2312" w:cs="MS Mincho"/>
          <w:kern w:val="0"/>
          <w:sz w:val="32"/>
          <w:szCs w:val="32"/>
        </w:rPr>
        <w:t>20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26年，面向中小企业采购预算53.28万元，其中面向小微企业采购预算0万元。</w:t>
      </w:r>
    </w:p>
    <w:p w14:paraId="7C1C590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79881A97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截至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20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25年12月31日，单位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占有房屋面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积10704平方米，其中：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办公用房建筑面积2840平方米，业务用房6744.6平方米，其他1119.4平方米。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车12辆，其中：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执法执勤用车11辆、特种专业技术用车1辆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50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万元以上的通用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台（套），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100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数量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台（套）。</w:t>
      </w:r>
    </w:p>
    <w:p w14:paraId="581E0385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  <w:highlight w:val="yellow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05A26600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“办案业务经费”项目</w:t>
      </w:r>
      <w:r>
        <w:rPr>
          <w:rFonts w:ascii="仿宋_GB2312" w:eastAsia="仿宋_GB2312" w:cs="Times New Roman"/>
          <w:sz w:val="32"/>
          <w:szCs w:val="32"/>
        </w:rPr>
        <w:t>主要用于辖区内刑事、民事、行政、执行等案件办案经费及审判管理、办案车辆运维、</w:t>
      </w:r>
      <w:r>
        <w:rPr>
          <w:rFonts w:hint="eastAsia" w:ascii="仿宋_GB2312" w:eastAsia="仿宋_GB2312" w:cs="Times New Roman"/>
          <w:sz w:val="32"/>
          <w:szCs w:val="32"/>
        </w:rPr>
        <w:t>县委县政府</w:t>
      </w:r>
      <w:r>
        <w:rPr>
          <w:rFonts w:ascii="仿宋_GB2312" w:eastAsia="仿宋_GB2312" w:cs="Times New Roman"/>
          <w:sz w:val="32"/>
          <w:szCs w:val="32"/>
        </w:rPr>
        <w:t>交办的重特大案件办理等特殊情况的经费保障。</w:t>
      </w:r>
      <w:r>
        <w:rPr>
          <w:rFonts w:hint="eastAsia" w:ascii="仿宋_GB2312" w:hAnsi="Calibri" w:eastAsia="仿宋_GB2312" w:cs="Times New Roman"/>
          <w:sz w:val="32"/>
          <w:szCs w:val="32"/>
        </w:rPr>
        <w:t>2</w:t>
      </w:r>
      <w:r>
        <w:rPr>
          <w:rFonts w:ascii="仿宋_GB2312" w:hAnsi="Calibri" w:eastAsia="仿宋_GB2312" w:cs="Times New Roman"/>
          <w:sz w:val="32"/>
          <w:szCs w:val="32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26年预算安排467.03万元，</w:t>
      </w:r>
      <w:r>
        <w:rPr>
          <w:rFonts w:ascii="仿宋_GB2312" w:eastAsia="仿宋_GB2312" w:cs="Times New Roman"/>
          <w:sz w:val="32"/>
          <w:szCs w:val="32"/>
        </w:rPr>
        <w:t>其中：一般公共预算财政拨款</w:t>
      </w:r>
      <w:r>
        <w:rPr>
          <w:rFonts w:hint="eastAsia" w:ascii="仿宋_GB2312" w:eastAsia="仿宋_GB2312" w:cs="Times New Roman"/>
          <w:sz w:val="32"/>
          <w:szCs w:val="32"/>
        </w:rPr>
        <w:t>433.75</w:t>
      </w:r>
      <w:r>
        <w:rPr>
          <w:rFonts w:ascii="仿宋_GB2312" w:eastAsia="仿宋_GB2312" w:cs="Times New Roman"/>
          <w:sz w:val="32"/>
          <w:szCs w:val="32"/>
        </w:rPr>
        <w:t>万元</w:t>
      </w:r>
      <w:r>
        <w:rPr>
          <w:rFonts w:hint="eastAsia" w:ascii="仿宋_GB2312" w:eastAsia="仿宋_GB2312" w:cs="Times New Roman"/>
          <w:sz w:val="32"/>
          <w:szCs w:val="32"/>
        </w:rPr>
        <w:t>，单位资金33.28万元</w:t>
      </w:r>
      <w:r>
        <w:rPr>
          <w:rFonts w:ascii="仿宋_GB2312" w:eastAsia="仿宋_GB2312" w:cs="Times New Roman"/>
          <w:sz w:val="32"/>
          <w:szCs w:val="32"/>
        </w:rPr>
        <w:t>。</w:t>
      </w:r>
    </w:p>
    <w:p w14:paraId="16ECCEBD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项目绩效年度目标：</w:t>
      </w:r>
      <w:r>
        <w:rPr>
          <w:rFonts w:ascii="仿宋_GB2312" w:eastAsia="仿宋_GB2312" w:cs="Times New Roman"/>
          <w:sz w:val="32"/>
          <w:szCs w:val="32"/>
        </w:rPr>
        <w:t>紧紧围绕“努力让人民群众在每一个司法案件中感受到公平正义”的目标要求，认真履行宪法法律赋予的审判职责，维护国家政治安全，确保社会大局稳定、促进社会公平正义、保障人民安居乐业作用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 w14:paraId="0EC84CC0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成本指标：项目成本控制率＜100%。</w:t>
      </w:r>
    </w:p>
    <w:p w14:paraId="3B46992B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数量指标：全年各类案件受理数＞4500件。</w:t>
      </w:r>
    </w:p>
    <w:p w14:paraId="177441BB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质量指标：执行完毕率＞95%。</w:t>
      </w:r>
    </w:p>
    <w:p w14:paraId="43F5E686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经济效益指标：</w:t>
      </w:r>
      <w:r>
        <w:rPr>
          <w:rFonts w:hint="eastAsia" w:ascii="仿宋_GB2312" w:hAnsi="Calibri" w:eastAsia="仿宋_GB2312" w:cs="Times New Roman"/>
          <w:sz w:val="32"/>
          <w:szCs w:val="32"/>
        </w:rPr>
        <w:t>执行到位率＞</w:t>
      </w:r>
      <w:r>
        <w:rPr>
          <w:rFonts w:hint="eastAsia" w:ascii="宋体" w:hAnsi="宋体" w:eastAsia="宋体" w:cs="宋体"/>
          <w:sz w:val="32"/>
          <w:szCs w:val="32"/>
        </w:rPr>
        <w:t>95%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1A544F0F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服务对象满意度：</w:t>
      </w:r>
      <w:r>
        <w:rPr>
          <w:rFonts w:ascii="仿宋_GB2312" w:hAnsi="微软雅黑" w:eastAsia="仿宋_GB2312" w:cs="微软雅黑"/>
          <w:sz w:val="32"/>
          <w:szCs w:val="32"/>
        </w:rPr>
        <w:t>普法活动群众满意度</w:t>
      </w:r>
      <w:r>
        <w:rPr>
          <w:rFonts w:hint="eastAsia" w:ascii="仿宋_GB2312" w:hAnsi="Calibri" w:eastAsia="仿宋_GB2312" w:cs="Times New Roman"/>
          <w:sz w:val="32"/>
          <w:szCs w:val="32"/>
        </w:rPr>
        <w:t>＞</w:t>
      </w:r>
      <w:r>
        <w:rPr>
          <w:rFonts w:hint="eastAsia" w:ascii="宋体" w:hAnsi="宋体" w:eastAsia="宋体" w:cs="宋体"/>
          <w:sz w:val="32"/>
          <w:szCs w:val="32"/>
        </w:rPr>
        <w:t>90%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3D67C415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021D994C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（一）空表说明</w:t>
      </w:r>
    </w:p>
    <w:p w14:paraId="25651B01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我院2026年无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政府性基金预算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支出,故该表为空表。</w:t>
      </w:r>
    </w:p>
    <w:p w14:paraId="06C13E34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（二）一般公共预算委托业务费41.8万元，与上年持平。</w:t>
      </w:r>
    </w:p>
    <w:p w14:paraId="65BCF905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（三）其他情况说明</w:t>
      </w:r>
    </w:p>
    <w:p w14:paraId="4BEF7854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无其他需要说明的情况。</w:t>
      </w:r>
    </w:p>
    <w:p w14:paraId="1F6FD6D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79FEBF43">
      <w:pPr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机关运行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位运行使用一般公共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款安排的基本支出中的日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常公用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支出。包括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公及印刷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、差旅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议费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、福利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、日常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用材料及一般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公用房取暖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以及其他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79A17950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“三公”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。其中，因公出国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、国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外城市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交通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、住宿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、伙食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训费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置支出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置税、牌照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、燃料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过桥过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险费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、安全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定开支的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宾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 xml:space="preserve">)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1436BC6C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：是指各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国家机关、事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，使用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依法制定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的集中采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以内的或者采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额标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准以上的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物、工程和服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的行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指具体的采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程，而且是采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政策、采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程序、采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程及采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称，是一种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共采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管理的制度，是一种政府行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667267D0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助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收入：指从同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  <w:bookmarkStart w:id="1" w:name="_GoBack"/>
      <w:bookmarkEnd w:id="1"/>
    </w:p>
    <w:p w14:paraId="118C92A4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其他收入：指除上述“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款收入”以外任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7D1588EE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基本支出：指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保障机构正常运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、完成日常工作任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和公用支出。</w:t>
      </w:r>
    </w:p>
    <w:p w14:paraId="10C1B106">
      <w:pPr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目支出：指在基本支出之外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完成特定行政任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展目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出。</w:t>
      </w:r>
    </w:p>
    <w:p w14:paraId="766BB1DF">
      <w:pPr>
        <w:rPr>
          <w:rFonts w:ascii="楷体" w:hAnsi="楷体" w:eastAsia="楷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.PingFang-SC-Ligh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851759"/>
    </w:sdtPr>
    <w:sdtContent>
      <w:p w14:paraId="4F6AE0F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376433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B89"/>
    <w:rsid w:val="00012DA5"/>
    <w:rsid w:val="00027C3E"/>
    <w:rsid w:val="00043CD0"/>
    <w:rsid w:val="00046764"/>
    <w:rsid w:val="00051AAE"/>
    <w:rsid w:val="000553D1"/>
    <w:rsid w:val="00055BEB"/>
    <w:rsid w:val="00060D09"/>
    <w:rsid w:val="00072904"/>
    <w:rsid w:val="000D6DED"/>
    <w:rsid w:val="00111790"/>
    <w:rsid w:val="00114122"/>
    <w:rsid w:val="0012200C"/>
    <w:rsid w:val="00136774"/>
    <w:rsid w:val="00143877"/>
    <w:rsid w:val="00172E9C"/>
    <w:rsid w:val="00183422"/>
    <w:rsid w:val="00190314"/>
    <w:rsid w:val="001A4C3D"/>
    <w:rsid w:val="001C175D"/>
    <w:rsid w:val="001C3EAF"/>
    <w:rsid w:val="001F5D00"/>
    <w:rsid w:val="002206AA"/>
    <w:rsid w:val="00226513"/>
    <w:rsid w:val="00231C6E"/>
    <w:rsid w:val="002442EC"/>
    <w:rsid w:val="00247482"/>
    <w:rsid w:val="00260C4B"/>
    <w:rsid w:val="00280006"/>
    <w:rsid w:val="00287537"/>
    <w:rsid w:val="002A339C"/>
    <w:rsid w:val="002B4495"/>
    <w:rsid w:val="002D6796"/>
    <w:rsid w:val="002E3715"/>
    <w:rsid w:val="002F33FB"/>
    <w:rsid w:val="002F7A2E"/>
    <w:rsid w:val="0033058A"/>
    <w:rsid w:val="003468FB"/>
    <w:rsid w:val="00352D31"/>
    <w:rsid w:val="00362DB2"/>
    <w:rsid w:val="0037363E"/>
    <w:rsid w:val="003773B4"/>
    <w:rsid w:val="003B64A8"/>
    <w:rsid w:val="003C1744"/>
    <w:rsid w:val="003D5D51"/>
    <w:rsid w:val="004008B9"/>
    <w:rsid w:val="00407342"/>
    <w:rsid w:val="00421218"/>
    <w:rsid w:val="00422E18"/>
    <w:rsid w:val="00433191"/>
    <w:rsid w:val="00433851"/>
    <w:rsid w:val="004339E3"/>
    <w:rsid w:val="0043686E"/>
    <w:rsid w:val="00442CD8"/>
    <w:rsid w:val="00454865"/>
    <w:rsid w:val="0046759B"/>
    <w:rsid w:val="004744D9"/>
    <w:rsid w:val="004819C9"/>
    <w:rsid w:val="00487CE2"/>
    <w:rsid w:val="004B1BAD"/>
    <w:rsid w:val="004C13AA"/>
    <w:rsid w:val="004D44A6"/>
    <w:rsid w:val="004E31F4"/>
    <w:rsid w:val="004E7C19"/>
    <w:rsid w:val="00513D1F"/>
    <w:rsid w:val="00524816"/>
    <w:rsid w:val="00535B43"/>
    <w:rsid w:val="005536F5"/>
    <w:rsid w:val="00557866"/>
    <w:rsid w:val="00573FA6"/>
    <w:rsid w:val="00581304"/>
    <w:rsid w:val="00581AE9"/>
    <w:rsid w:val="005C77B5"/>
    <w:rsid w:val="005F14F3"/>
    <w:rsid w:val="006112FC"/>
    <w:rsid w:val="00632748"/>
    <w:rsid w:val="00634621"/>
    <w:rsid w:val="00640A32"/>
    <w:rsid w:val="006417A7"/>
    <w:rsid w:val="006450E5"/>
    <w:rsid w:val="00656B71"/>
    <w:rsid w:val="00663507"/>
    <w:rsid w:val="006705B6"/>
    <w:rsid w:val="00676471"/>
    <w:rsid w:val="006A38ED"/>
    <w:rsid w:val="006B2B92"/>
    <w:rsid w:val="00724D2E"/>
    <w:rsid w:val="007270A4"/>
    <w:rsid w:val="0074259A"/>
    <w:rsid w:val="00751D84"/>
    <w:rsid w:val="007547A0"/>
    <w:rsid w:val="00764BE1"/>
    <w:rsid w:val="0077318A"/>
    <w:rsid w:val="007817AD"/>
    <w:rsid w:val="00797E97"/>
    <w:rsid w:val="007A2910"/>
    <w:rsid w:val="007B21D1"/>
    <w:rsid w:val="007B3C62"/>
    <w:rsid w:val="007D521B"/>
    <w:rsid w:val="007F697D"/>
    <w:rsid w:val="00805623"/>
    <w:rsid w:val="00812872"/>
    <w:rsid w:val="00816B94"/>
    <w:rsid w:val="0082079C"/>
    <w:rsid w:val="0082148E"/>
    <w:rsid w:val="00830664"/>
    <w:rsid w:val="00830704"/>
    <w:rsid w:val="008346AE"/>
    <w:rsid w:val="00844FD5"/>
    <w:rsid w:val="00856EE7"/>
    <w:rsid w:val="00877E2D"/>
    <w:rsid w:val="00880CE2"/>
    <w:rsid w:val="00897403"/>
    <w:rsid w:val="008974E2"/>
    <w:rsid w:val="008A616A"/>
    <w:rsid w:val="008A66E2"/>
    <w:rsid w:val="008C073C"/>
    <w:rsid w:val="008C73C3"/>
    <w:rsid w:val="00911039"/>
    <w:rsid w:val="00926CB0"/>
    <w:rsid w:val="00933B5D"/>
    <w:rsid w:val="00942C63"/>
    <w:rsid w:val="00944CF0"/>
    <w:rsid w:val="009459D6"/>
    <w:rsid w:val="00952909"/>
    <w:rsid w:val="009616C6"/>
    <w:rsid w:val="0098030C"/>
    <w:rsid w:val="009875B8"/>
    <w:rsid w:val="009A1167"/>
    <w:rsid w:val="009A5906"/>
    <w:rsid w:val="009C1F6F"/>
    <w:rsid w:val="009D307F"/>
    <w:rsid w:val="009F6B89"/>
    <w:rsid w:val="00A000FA"/>
    <w:rsid w:val="00A01414"/>
    <w:rsid w:val="00A06054"/>
    <w:rsid w:val="00A06DC7"/>
    <w:rsid w:val="00A174B3"/>
    <w:rsid w:val="00A17C19"/>
    <w:rsid w:val="00A32809"/>
    <w:rsid w:val="00A32A66"/>
    <w:rsid w:val="00A3381F"/>
    <w:rsid w:val="00A35FE2"/>
    <w:rsid w:val="00A4057D"/>
    <w:rsid w:val="00A40D9B"/>
    <w:rsid w:val="00A442FA"/>
    <w:rsid w:val="00A572E7"/>
    <w:rsid w:val="00A74FA0"/>
    <w:rsid w:val="00A82C99"/>
    <w:rsid w:val="00A83DBB"/>
    <w:rsid w:val="00A97F07"/>
    <w:rsid w:val="00AA2646"/>
    <w:rsid w:val="00AB58F0"/>
    <w:rsid w:val="00B0204C"/>
    <w:rsid w:val="00B12C86"/>
    <w:rsid w:val="00B31F38"/>
    <w:rsid w:val="00B41D6A"/>
    <w:rsid w:val="00B466D5"/>
    <w:rsid w:val="00B577E4"/>
    <w:rsid w:val="00B60548"/>
    <w:rsid w:val="00B629BE"/>
    <w:rsid w:val="00B737E7"/>
    <w:rsid w:val="00B80952"/>
    <w:rsid w:val="00B91373"/>
    <w:rsid w:val="00B94603"/>
    <w:rsid w:val="00B956FD"/>
    <w:rsid w:val="00BA1261"/>
    <w:rsid w:val="00BC0F91"/>
    <w:rsid w:val="00BD1F60"/>
    <w:rsid w:val="00BE7214"/>
    <w:rsid w:val="00BF7C57"/>
    <w:rsid w:val="00BF7F5F"/>
    <w:rsid w:val="00C00197"/>
    <w:rsid w:val="00C15882"/>
    <w:rsid w:val="00C234B5"/>
    <w:rsid w:val="00C5127D"/>
    <w:rsid w:val="00C51B5C"/>
    <w:rsid w:val="00C917E3"/>
    <w:rsid w:val="00C91D7A"/>
    <w:rsid w:val="00CB7F8C"/>
    <w:rsid w:val="00D05895"/>
    <w:rsid w:val="00D07C0C"/>
    <w:rsid w:val="00D27DAB"/>
    <w:rsid w:val="00D36EFE"/>
    <w:rsid w:val="00D44650"/>
    <w:rsid w:val="00D51AFC"/>
    <w:rsid w:val="00D60D29"/>
    <w:rsid w:val="00D67A7E"/>
    <w:rsid w:val="00D73FAB"/>
    <w:rsid w:val="00D85B1B"/>
    <w:rsid w:val="00D9602C"/>
    <w:rsid w:val="00D97776"/>
    <w:rsid w:val="00DB1AA6"/>
    <w:rsid w:val="00DC0C05"/>
    <w:rsid w:val="00DD5C20"/>
    <w:rsid w:val="00DE720F"/>
    <w:rsid w:val="00DF1049"/>
    <w:rsid w:val="00DF159D"/>
    <w:rsid w:val="00E14F6F"/>
    <w:rsid w:val="00E303DC"/>
    <w:rsid w:val="00E557F8"/>
    <w:rsid w:val="00E85FBD"/>
    <w:rsid w:val="00E94165"/>
    <w:rsid w:val="00E941F5"/>
    <w:rsid w:val="00EA036D"/>
    <w:rsid w:val="00EA48F0"/>
    <w:rsid w:val="00EC70F0"/>
    <w:rsid w:val="00EF6B62"/>
    <w:rsid w:val="00F1061B"/>
    <w:rsid w:val="00F17A30"/>
    <w:rsid w:val="00F2122A"/>
    <w:rsid w:val="00F356CC"/>
    <w:rsid w:val="00F35F2C"/>
    <w:rsid w:val="00F669FA"/>
    <w:rsid w:val="00F9716A"/>
    <w:rsid w:val="00FB1392"/>
    <w:rsid w:val="00FB40D4"/>
    <w:rsid w:val="00FC3D7D"/>
    <w:rsid w:val="00FD5E2B"/>
    <w:rsid w:val="00FE04E2"/>
    <w:rsid w:val="00FE06DD"/>
    <w:rsid w:val="08C43471"/>
    <w:rsid w:val="0B9510F4"/>
    <w:rsid w:val="10AD0C8E"/>
    <w:rsid w:val="1C2F4C4D"/>
    <w:rsid w:val="202E1291"/>
    <w:rsid w:val="232E69B8"/>
    <w:rsid w:val="2939710B"/>
    <w:rsid w:val="3E3143FD"/>
    <w:rsid w:val="54BC17C7"/>
    <w:rsid w:val="6F064BCB"/>
    <w:rsid w:val="746A22D8"/>
    <w:rsid w:val="79A52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99"/>
    <w:rPr>
      <w:rFonts w:ascii="宋体" w:hAnsi="Courier New" w:eastAsia="宋体" w:cs="Courier New"/>
    </w:rPr>
  </w:style>
  <w:style w:type="paragraph" w:customStyle="1" w:styleId="11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2555</Words>
  <Characters>2848</Characters>
  <Lines>20</Lines>
  <Paragraphs>5</Paragraphs>
  <TotalTime>547</TotalTime>
  <ScaleCrop>false</ScaleCrop>
  <LinksUpToDate>false</LinksUpToDate>
  <CharactersWithSpaces>2853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2022-02-18T03:51:00Z</dcterms:created>
  <dc:creator>Lenovo</dc:creator>
  <cp:lastModifiedBy>肖毅</cp:lastModifiedBy>
  <cp:lastPrinted>2026-02-25T02:30:00Z</cp:lastPrinted>
  <dcterms:modified xsi:type="dcterms:W3CDTF">2026-02-28T08:09:46Z</dcterms:modified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E679EEC8882D4409BA2781134C44C3F2</vt:lpwstr>
  </property>
  <property fmtid="{D5CDD505-2E9C-101B-9397-08002B2CF9AE}" pid="4" name="KSOTemplateDocerSaveRecord">
    <vt:lpwstr>eyJoZGlkIjoiYmM3YmE3MTc2N2MzNmIzMjkyZWE5M2ExODYyYmZmZjgiLCJ1c2VySWQiOiI1NDMxODMxMDgifQ==</vt:lpwstr>
  </property>
</Properties>
</file>